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DE9" w:rsidRPr="00984ED7" w:rsidRDefault="00B35190" w:rsidP="00984ED7">
      <w:pPr>
        <w:contextualSpacing/>
        <w:jc w:val="both"/>
        <w:rPr>
          <w:rFonts w:ascii="Verdana" w:hAnsi="Verdana"/>
          <w:b/>
          <w:u w:val="single"/>
        </w:rPr>
      </w:pPr>
      <w:r w:rsidRPr="00984ED7">
        <w:rPr>
          <w:rFonts w:ascii="Verdana" w:hAnsi="Verdana"/>
          <w:b/>
          <w:u w:val="single"/>
        </w:rPr>
        <w:t xml:space="preserve">Brexit </w:t>
      </w:r>
      <w:r w:rsidR="00F22E64" w:rsidRPr="00984ED7">
        <w:rPr>
          <w:rFonts w:ascii="Verdana" w:hAnsi="Verdana"/>
          <w:b/>
          <w:u w:val="single"/>
        </w:rPr>
        <w:t>Preparations</w:t>
      </w:r>
      <w:r w:rsidR="00D20682" w:rsidRPr="00984ED7">
        <w:rPr>
          <w:rFonts w:ascii="Verdana" w:hAnsi="Verdana"/>
          <w:b/>
          <w:u w:val="single"/>
        </w:rPr>
        <w:t xml:space="preserve"> Checklist</w:t>
      </w:r>
    </w:p>
    <w:p w:rsidR="00F22E64" w:rsidRPr="00984ED7" w:rsidRDefault="00F22E64" w:rsidP="00984ED7">
      <w:pPr>
        <w:contextualSpacing/>
        <w:jc w:val="both"/>
        <w:rPr>
          <w:rFonts w:ascii="Verdana" w:hAnsi="Verdana"/>
        </w:rPr>
      </w:pPr>
    </w:p>
    <w:p w:rsidR="00C21D51" w:rsidRPr="00984ED7" w:rsidRDefault="00C21D51" w:rsidP="00984ED7">
      <w:pPr>
        <w:contextualSpacing/>
        <w:jc w:val="both"/>
        <w:rPr>
          <w:rFonts w:ascii="Verdana" w:hAnsi="Verdana"/>
        </w:rPr>
      </w:pPr>
      <w:r w:rsidRPr="00984ED7">
        <w:rPr>
          <w:rFonts w:ascii="Verdana" w:hAnsi="Verdana"/>
        </w:rPr>
        <w:t xml:space="preserve">The sections below are examples of some of the areas an organisation should consider in relation to the UK’s exit from the European Union – the events that may occur in the normal operations of an organisation, the potential issues that this could cause and their effects, and some potential solutions to be considered.  The final column allows for an update to those charged with the governance of an organisation as to what progress the organisation has made against this. </w:t>
      </w:r>
    </w:p>
    <w:p w:rsidR="00984ED7" w:rsidRPr="00984ED7" w:rsidRDefault="00984ED7" w:rsidP="00984ED7">
      <w:pPr>
        <w:contextualSpacing/>
        <w:jc w:val="both"/>
        <w:rPr>
          <w:rFonts w:ascii="Verdana" w:hAnsi="Verdana"/>
        </w:rPr>
      </w:pPr>
    </w:p>
    <w:p w:rsidR="00984ED7" w:rsidRPr="00984ED7" w:rsidRDefault="00984ED7" w:rsidP="00984ED7">
      <w:pPr>
        <w:contextualSpacing/>
        <w:jc w:val="both"/>
        <w:rPr>
          <w:rFonts w:ascii="Verdana" w:hAnsi="Verdana"/>
        </w:rPr>
      </w:pPr>
      <w:r w:rsidRPr="00984ED7">
        <w:rPr>
          <w:rFonts w:ascii="Verdana" w:hAnsi="Verdana"/>
        </w:rPr>
        <w:t>These are examples only and are not intended to be exhaustive or complete.  It is essential that each organisation considers what is pertinent to it and how to mitigate the risks involved.</w:t>
      </w:r>
    </w:p>
    <w:p w:rsidR="00984ED7" w:rsidRPr="00984ED7" w:rsidRDefault="00984ED7" w:rsidP="00984ED7">
      <w:pPr>
        <w:contextualSpacing/>
        <w:jc w:val="both"/>
        <w:rPr>
          <w:rFonts w:ascii="Verdana" w:hAnsi="Verdana"/>
        </w:rPr>
      </w:pPr>
    </w:p>
    <w:p w:rsidR="00984ED7" w:rsidRPr="00984ED7" w:rsidRDefault="00984ED7" w:rsidP="00984ED7">
      <w:pPr>
        <w:contextualSpacing/>
        <w:jc w:val="both"/>
        <w:rPr>
          <w:rFonts w:ascii="Verdana" w:hAnsi="Verdana"/>
        </w:rPr>
      </w:pPr>
      <w:r w:rsidRPr="00984ED7">
        <w:rPr>
          <w:rFonts w:ascii="Verdana" w:hAnsi="Verdana"/>
        </w:rPr>
        <w:t>It is also essential that each organisation remains up to date on any guidance issued at a governmental or EU-level in order that additional risks are considered and any potential macro-level solutions are also recognised.</w:t>
      </w:r>
    </w:p>
    <w:p w:rsidR="00984ED7" w:rsidRDefault="00984ED7" w:rsidP="00F22E64">
      <w:pPr>
        <w:contextualSpacing/>
      </w:pPr>
    </w:p>
    <w:p w:rsidR="00984ED7" w:rsidRDefault="00984ED7">
      <w:pPr>
        <w:rPr>
          <w:b/>
          <w:sz w:val="28"/>
          <w:szCs w:val="28"/>
        </w:rPr>
      </w:pPr>
      <w:r>
        <w:rPr>
          <w:b/>
          <w:sz w:val="28"/>
          <w:szCs w:val="28"/>
        </w:rPr>
        <w:br w:type="page"/>
      </w:r>
    </w:p>
    <w:p w:rsidR="00F22E64" w:rsidRPr="002D4239" w:rsidRDefault="00F22E64" w:rsidP="00F22E64">
      <w:pPr>
        <w:contextualSpacing/>
        <w:rPr>
          <w:b/>
          <w:sz w:val="28"/>
          <w:szCs w:val="28"/>
        </w:rPr>
      </w:pPr>
      <w:r w:rsidRPr="002D4239">
        <w:rPr>
          <w:b/>
          <w:sz w:val="28"/>
          <w:szCs w:val="28"/>
        </w:rPr>
        <w:lastRenderedPageBreak/>
        <w:t>Travel to</w:t>
      </w:r>
      <w:r w:rsidR="00626FFF">
        <w:rPr>
          <w:b/>
          <w:sz w:val="28"/>
          <w:szCs w:val="28"/>
        </w:rPr>
        <w:t>/from</w:t>
      </w:r>
      <w:r w:rsidRPr="002D4239">
        <w:rPr>
          <w:b/>
          <w:sz w:val="28"/>
          <w:szCs w:val="28"/>
        </w:rPr>
        <w:t xml:space="preserve"> EU</w:t>
      </w:r>
    </w:p>
    <w:tbl>
      <w:tblPr>
        <w:tblStyle w:val="TableGrid"/>
        <w:tblW w:w="0" w:type="auto"/>
        <w:tblLook w:val="04A0" w:firstRow="1" w:lastRow="0" w:firstColumn="1" w:lastColumn="0" w:noHBand="0" w:noVBand="1"/>
      </w:tblPr>
      <w:tblGrid>
        <w:gridCol w:w="1893"/>
        <w:gridCol w:w="2907"/>
        <w:gridCol w:w="3410"/>
        <w:gridCol w:w="3140"/>
        <w:gridCol w:w="2598"/>
      </w:tblGrid>
      <w:tr w:rsidR="002D4239" w:rsidRPr="00F22E64" w:rsidTr="00C12A75">
        <w:tc>
          <w:tcPr>
            <w:tcW w:w="1893" w:type="dxa"/>
            <w:shd w:val="clear" w:color="auto" w:fill="D9D9D9" w:themeFill="background1" w:themeFillShade="D9"/>
          </w:tcPr>
          <w:p w:rsidR="002D4239" w:rsidRPr="00F22E64" w:rsidRDefault="002D4239" w:rsidP="00F22E64">
            <w:pPr>
              <w:contextualSpacing/>
              <w:rPr>
                <w:b/>
              </w:rPr>
            </w:pPr>
            <w:r w:rsidRPr="00F22E64">
              <w:rPr>
                <w:b/>
              </w:rPr>
              <w:t>Event</w:t>
            </w:r>
          </w:p>
        </w:tc>
        <w:tc>
          <w:tcPr>
            <w:tcW w:w="2907" w:type="dxa"/>
            <w:shd w:val="clear" w:color="auto" w:fill="D9D9D9" w:themeFill="background1" w:themeFillShade="D9"/>
          </w:tcPr>
          <w:p w:rsidR="002D4239" w:rsidRPr="00F22E64" w:rsidRDefault="002D4239" w:rsidP="00F22E64">
            <w:pPr>
              <w:contextualSpacing/>
              <w:rPr>
                <w:b/>
              </w:rPr>
            </w:pPr>
            <w:r>
              <w:rPr>
                <w:b/>
              </w:rPr>
              <w:t xml:space="preserve">Potential </w:t>
            </w:r>
            <w:r w:rsidRPr="00F22E64">
              <w:rPr>
                <w:b/>
              </w:rPr>
              <w:t xml:space="preserve">Issue </w:t>
            </w:r>
          </w:p>
        </w:tc>
        <w:tc>
          <w:tcPr>
            <w:tcW w:w="3410" w:type="dxa"/>
            <w:shd w:val="clear" w:color="auto" w:fill="D9D9D9" w:themeFill="background1" w:themeFillShade="D9"/>
          </w:tcPr>
          <w:p w:rsidR="002D4239" w:rsidRPr="00F22E64" w:rsidRDefault="002D4239" w:rsidP="002D4239">
            <w:pPr>
              <w:contextualSpacing/>
              <w:jc w:val="both"/>
              <w:rPr>
                <w:b/>
              </w:rPr>
            </w:pPr>
            <w:r>
              <w:rPr>
                <w:b/>
              </w:rPr>
              <w:t>Potential Effect</w:t>
            </w:r>
          </w:p>
        </w:tc>
        <w:tc>
          <w:tcPr>
            <w:tcW w:w="3140" w:type="dxa"/>
            <w:shd w:val="clear" w:color="auto" w:fill="D9D9D9" w:themeFill="background1" w:themeFillShade="D9"/>
          </w:tcPr>
          <w:p w:rsidR="002D4239" w:rsidRPr="00F22E64" w:rsidRDefault="002D4239" w:rsidP="002D4239">
            <w:pPr>
              <w:contextualSpacing/>
              <w:jc w:val="both"/>
              <w:rPr>
                <w:b/>
              </w:rPr>
            </w:pPr>
            <w:r>
              <w:rPr>
                <w:b/>
              </w:rPr>
              <w:t>Potential Solution</w:t>
            </w:r>
          </w:p>
        </w:tc>
        <w:tc>
          <w:tcPr>
            <w:tcW w:w="2598" w:type="dxa"/>
            <w:shd w:val="clear" w:color="auto" w:fill="D9D9D9" w:themeFill="background1" w:themeFillShade="D9"/>
          </w:tcPr>
          <w:p w:rsidR="002D4239" w:rsidRDefault="002D4239" w:rsidP="002D4239">
            <w:pPr>
              <w:contextualSpacing/>
              <w:jc w:val="both"/>
              <w:rPr>
                <w:b/>
              </w:rPr>
            </w:pPr>
            <w:r w:rsidRPr="00F22E64">
              <w:rPr>
                <w:b/>
              </w:rPr>
              <w:t>Progress</w:t>
            </w:r>
          </w:p>
        </w:tc>
      </w:tr>
      <w:tr w:rsidR="002D4239" w:rsidTr="002D4239">
        <w:tc>
          <w:tcPr>
            <w:tcW w:w="1893" w:type="dxa"/>
            <w:vMerge w:val="restart"/>
          </w:tcPr>
          <w:p w:rsidR="002D4239" w:rsidRDefault="002D4239" w:rsidP="00F22E64">
            <w:pPr>
              <w:contextualSpacing/>
            </w:pPr>
            <w:r>
              <w:t>Staff travel</w:t>
            </w:r>
          </w:p>
        </w:tc>
        <w:tc>
          <w:tcPr>
            <w:tcW w:w="2907" w:type="dxa"/>
          </w:tcPr>
          <w:p w:rsidR="002D4239" w:rsidRDefault="002D4239" w:rsidP="00F22E64">
            <w:pPr>
              <w:contextualSpacing/>
            </w:pPr>
            <w:r>
              <w:t>Increased time taken for border checks</w:t>
            </w:r>
          </w:p>
        </w:tc>
        <w:tc>
          <w:tcPr>
            <w:tcW w:w="3410" w:type="dxa"/>
          </w:tcPr>
          <w:p w:rsidR="002D4239" w:rsidRDefault="002D4239" w:rsidP="002D4239">
            <w:pPr>
              <w:pStyle w:val="ListParagraph"/>
              <w:numPr>
                <w:ilvl w:val="0"/>
                <w:numId w:val="1"/>
              </w:numPr>
              <w:ind w:left="365" w:hanging="284"/>
              <w:jc w:val="both"/>
            </w:pPr>
            <w:r>
              <w:t>Increase in total travel time to and from EU.</w:t>
            </w:r>
          </w:p>
          <w:p w:rsidR="002D4239" w:rsidRDefault="002D4239" w:rsidP="002D4239">
            <w:pPr>
              <w:pStyle w:val="ListParagraph"/>
              <w:numPr>
                <w:ilvl w:val="0"/>
                <w:numId w:val="1"/>
              </w:numPr>
              <w:ind w:left="365" w:hanging="284"/>
              <w:jc w:val="both"/>
            </w:pPr>
            <w:r>
              <w:t>Missed travel connections.</w:t>
            </w:r>
          </w:p>
          <w:p w:rsidR="00C21D51" w:rsidRDefault="002D4239" w:rsidP="00C21D51">
            <w:pPr>
              <w:pStyle w:val="ListParagraph"/>
              <w:numPr>
                <w:ilvl w:val="0"/>
                <w:numId w:val="1"/>
              </w:numPr>
              <w:ind w:left="365" w:hanging="284"/>
              <w:jc w:val="both"/>
            </w:pPr>
            <w:r>
              <w:t>Late for meetings/events.</w:t>
            </w:r>
          </w:p>
          <w:p w:rsidR="006B3868" w:rsidRDefault="006B3868" w:rsidP="006B3868">
            <w:pPr>
              <w:pStyle w:val="ListParagraph"/>
              <w:ind w:left="365"/>
              <w:jc w:val="both"/>
            </w:pPr>
          </w:p>
        </w:tc>
        <w:tc>
          <w:tcPr>
            <w:tcW w:w="3140" w:type="dxa"/>
          </w:tcPr>
          <w:p w:rsidR="002D4239" w:rsidRDefault="0064172E" w:rsidP="0064172E">
            <w:pPr>
              <w:jc w:val="both"/>
            </w:pPr>
            <w:r>
              <w:t>Ensure that appropriate time is allowed for in all travel planning.</w:t>
            </w:r>
          </w:p>
        </w:tc>
        <w:tc>
          <w:tcPr>
            <w:tcW w:w="2598" w:type="dxa"/>
          </w:tcPr>
          <w:p w:rsidR="002D4239" w:rsidRDefault="002D4239" w:rsidP="0064172E">
            <w:pPr>
              <w:jc w:val="both"/>
            </w:pPr>
          </w:p>
        </w:tc>
      </w:tr>
      <w:tr w:rsidR="0064172E" w:rsidTr="0064172E">
        <w:trPr>
          <w:trHeight w:val="1766"/>
        </w:trPr>
        <w:tc>
          <w:tcPr>
            <w:tcW w:w="1893" w:type="dxa"/>
            <w:vMerge/>
          </w:tcPr>
          <w:p w:rsidR="0064172E" w:rsidRDefault="0064172E" w:rsidP="00F22E64">
            <w:pPr>
              <w:contextualSpacing/>
            </w:pPr>
          </w:p>
        </w:tc>
        <w:tc>
          <w:tcPr>
            <w:tcW w:w="2907" w:type="dxa"/>
            <w:vMerge w:val="restart"/>
          </w:tcPr>
          <w:p w:rsidR="0064172E" w:rsidRDefault="0064172E" w:rsidP="00F22E64">
            <w:pPr>
              <w:contextualSpacing/>
            </w:pPr>
            <w:r>
              <w:t>Insurance cover may no longer be valid</w:t>
            </w:r>
          </w:p>
        </w:tc>
        <w:tc>
          <w:tcPr>
            <w:tcW w:w="3410" w:type="dxa"/>
          </w:tcPr>
          <w:p w:rsidR="0064172E" w:rsidRDefault="0064172E" w:rsidP="0064172E">
            <w:pPr>
              <w:jc w:val="both"/>
            </w:pPr>
            <w:r>
              <w:t>Car insurance not valid so use of own car for business travel no</w:t>
            </w:r>
            <w:r w:rsidR="006979CC">
              <w:t>t</w:t>
            </w:r>
            <w:r>
              <w:t xml:space="preserve"> appropriate.  Payment of business mileage for travel may expose organisation to liability should incident occur.</w:t>
            </w:r>
          </w:p>
        </w:tc>
        <w:tc>
          <w:tcPr>
            <w:tcW w:w="3140" w:type="dxa"/>
          </w:tcPr>
          <w:p w:rsidR="0064172E" w:rsidRDefault="0064172E" w:rsidP="0064172E">
            <w:pPr>
              <w:jc w:val="both"/>
            </w:pPr>
            <w:r>
              <w:t>Onus on staff to check with own insurer.  Organisation should seek and retain confirmation that appropriate cover is in place.</w:t>
            </w:r>
            <w:r w:rsidR="006B3868">
              <w:t xml:space="preserve">  Current UK-insurer requirement for ‘Green Card.’</w:t>
            </w:r>
          </w:p>
        </w:tc>
        <w:tc>
          <w:tcPr>
            <w:tcW w:w="2598" w:type="dxa"/>
          </w:tcPr>
          <w:p w:rsidR="0064172E" w:rsidRDefault="0064172E" w:rsidP="0064172E">
            <w:pPr>
              <w:jc w:val="both"/>
            </w:pPr>
          </w:p>
        </w:tc>
      </w:tr>
      <w:tr w:rsidR="0064172E" w:rsidTr="0064172E">
        <w:trPr>
          <w:trHeight w:val="1691"/>
        </w:trPr>
        <w:tc>
          <w:tcPr>
            <w:tcW w:w="1893" w:type="dxa"/>
            <w:vMerge/>
          </w:tcPr>
          <w:p w:rsidR="0064172E" w:rsidRDefault="0064172E" w:rsidP="00F22E64">
            <w:pPr>
              <w:contextualSpacing/>
            </w:pPr>
          </w:p>
        </w:tc>
        <w:tc>
          <w:tcPr>
            <w:tcW w:w="2907" w:type="dxa"/>
            <w:vMerge/>
          </w:tcPr>
          <w:p w:rsidR="0064172E" w:rsidRDefault="0064172E" w:rsidP="00F22E64">
            <w:pPr>
              <w:contextualSpacing/>
            </w:pPr>
          </w:p>
        </w:tc>
        <w:tc>
          <w:tcPr>
            <w:tcW w:w="3410" w:type="dxa"/>
          </w:tcPr>
          <w:p w:rsidR="0064172E" w:rsidRDefault="0064172E" w:rsidP="0064172E">
            <w:pPr>
              <w:jc w:val="both"/>
            </w:pPr>
            <w:r>
              <w:t>Employers’ Liability insurance may not cover employees travel to specific countries.</w:t>
            </w:r>
          </w:p>
        </w:tc>
        <w:tc>
          <w:tcPr>
            <w:tcW w:w="3140" w:type="dxa"/>
          </w:tcPr>
          <w:p w:rsidR="0064172E" w:rsidRDefault="0064172E" w:rsidP="0064172E">
            <w:pPr>
              <w:jc w:val="both"/>
            </w:pPr>
            <w:r>
              <w:t>Organisation to check with insurer that appropriate cover is in place.</w:t>
            </w:r>
          </w:p>
        </w:tc>
        <w:tc>
          <w:tcPr>
            <w:tcW w:w="2598" w:type="dxa"/>
          </w:tcPr>
          <w:p w:rsidR="0064172E" w:rsidRDefault="0064172E" w:rsidP="0064172E">
            <w:pPr>
              <w:jc w:val="both"/>
            </w:pPr>
          </w:p>
        </w:tc>
      </w:tr>
      <w:tr w:rsidR="0064172E" w:rsidTr="002D4239">
        <w:trPr>
          <w:trHeight w:val="3395"/>
        </w:trPr>
        <w:tc>
          <w:tcPr>
            <w:tcW w:w="1893" w:type="dxa"/>
          </w:tcPr>
          <w:p w:rsidR="0064172E" w:rsidRDefault="0064172E" w:rsidP="00F22E64">
            <w:pPr>
              <w:contextualSpacing/>
            </w:pPr>
          </w:p>
        </w:tc>
        <w:tc>
          <w:tcPr>
            <w:tcW w:w="2907" w:type="dxa"/>
            <w:vMerge/>
          </w:tcPr>
          <w:p w:rsidR="0064172E" w:rsidRDefault="0064172E" w:rsidP="00F22E64">
            <w:pPr>
              <w:contextualSpacing/>
            </w:pPr>
          </w:p>
        </w:tc>
        <w:tc>
          <w:tcPr>
            <w:tcW w:w="3410" w:type="dxa"/>
          </w:tcPr>
          <w:p w:rsidR="0064172E" w:rsidRDefault="0064172E" w:rsidP="0064172E">
            <w:pPr>
              <w:jc w:val="both"/>
            </w:pPr>
            <w:r>
              <w:t>Individuals may no longer receive treatment free at point of delivery, as per EHIC card arrangement currently.</w:t>
            </w:r>
          </w:p>
        </w:tc>
        <w:tc>
          <w:tcPr>
            <w:tcW w:w="3140" w:type="dxa"/>
          </w:tcPr>
          <w:p w:rsidR="0064172E" w:rsidRDefault="0064172E" w:rsidP="0064172E">
            <w:pPr>
              <w:jc w:val="both"/>
            </w:pPr>
            <w:r>
              <w:t>Organisation to check with insurer</w:t>
            </w:r>
            <w:r w:rsidR="00AB7118">
              <w:t xml:space="preserve"> what cover is </w:t>
            </w:r>
            <w:r>
              <w:t>currently in place should an employee, on work business, require hospital treatment within the EU and consider if additional cover is required/appropriate.  Employees to be informed as to what cover in place and whether any additional personal cover may be required, with the onus on themselves to arrange.</w:t>
            </w:r>
          </w:p>
          <w:p w:rsidR="00116CD5" w:rsidRDefault="00116CD5" w:rsidP="0064172E">
            <w:pPr>
              <w:jc w:val="both"/>
            </w:pPr>
          </w:p>
        </w:tc>
        <w:tc>
          <w:tcPr>
            <w:tcW w:w="2598" w:type="dxa"/>
          </w:tcPr>
          <w:p w:rsidR="0064172E" w:rsidRDefault="0064172E" w:rsidP="0064172E">
            <w:pPr>
              <w:jc w:val="both"/>
            </w:pPr>
          </w:p>
        </w:tc>
      </w:tr>
      <w:tr w:rsidR="00116CD5" w:rsidTr="00C12A75">
        <w:tc>
          <w:tcPr>
            <w:tcW w:w="1893" w:type="dxa"/>
            <w:shd w:val="clear" w:color="auto" w:fill="D9D9D9" w:themeFill="background1" w:themeFillShade="D9"/>
          </w:tcPr>
          <w:p w:rsidR="00116CD5" w:rsidRPr="00F22E64" w:rsidRDefault="00116CD5" w:rsidP="00116CD5">
            <w:pPr>
              <w:contextualSpacing/>
              <w:rPr>
                <w:b/>
              </w:rPr>
            </w:pPr>
            <w:r w:rsidRPr="00F22E64">
              <w:rPr>
                <w:b/>
              </w:rPr>
              <w:lastRenderedPageBreak/>
              <w:t>Event</w:t>
            </w:r>
          </w:p>
        </w:tc>
        <w:tc>
          <w:tcPr>
            <w:tcW w:w="2907" w:type="dxa"/>
            <w:shd w:val="clear" w:color="auto" w:fill="D9D9D9" w:themeFill="background1" w:themeFillShade="D9"/>
          </w:tcPr>
          <w:p w:rsidR="00116CD5" w:rsidRPr="00F22E64" w:rsidRDefault="00116CD5" w:rsidP="00116CD5">
            <w:pPr>
              <w:contextualSpacing/>
              <w:rPr>
                <w:b/>
              </w:rPr>
            </w:pPr>
            <w:r>
              <w:rPr>
                <w:b/>
              </w:rPr>
              <w:t xml:space="preserve">Potential </w:t>
            </w:r>
            <w:r w:rsidRPr="00F22E64">
              <w:rPr>
                <w:b/>
              </w:rPr>
              <w:t xml:space="preserve">Issue </w:t>
            </w:r>
          </w:p>
        </w:tc>
        <w:tc>
          <w:tcPr>
            <w:tcW w:w="3410" w:type="dxa"/>
            <w:shd w:val="clear" w:color="auto" w:fill="D9D9D9" w:themeFill="background1" w:themeFillShade="D9"/>
          </w:tcPr>
          <w:p w:rsidR="00116CD5" w:rsidRPr="00F22E64" w:rsidRDefault="00116CD5" w:rsidP="00116CD5">
            <w:pPr>
              <w:contextualSpacing/>
              <w:jc w:val="both"/>
              <w:rPr>
                <w:b/>
              </w:rPr>
            </w:pPr>
            <w:r>
              <w:rPr>
                <w:b/>
              </w:rPr>
              <w:t>Potential Effect</w:t>
            </w:r>
          </w:p>
        </w:tc>
        <w:tc>
          <w:tcPr>
            <w:tcW w:w="3140" w:type="dxa"/>
            <w:shd w:val="clear" w:color="auto" w:fill="D9D9D9" w:themeFill="background1" w:themeFillShade="D9"/>
          </w:tcPr>
          <w:p w:rsidR="00116CD5" w:rsidRPr="00F22E64" w:rsidRDefault="00116CD5" w:rsidP="00116CD5">
            <w:pPr>
              <w:contextualSpacing/>
              <w:jc w:val="both"/>
              <w:rPr>
                <w:b/>
              </w:rPr>
            </w:pPr>
            <w:r>
              <w:rPr>
                <w:b/>
              </w:rPr>
              <w:t>Potential Solution</w:t>
            </w:r>
          </w:p>
        </w:tc>
        <w:tc>
          <w:tcPr>
            <w:tcW w:w="2598" w:type="dxa"/>
            <w:shd w:val="clear" w:color="auto" w:fill="D9D9D9" w:themeFill="background1" w:themeFillShade="D9"/>
          </w:tcPr>
          <w:p w:rsidR="00116CD5" w:rsidRDefault="00116CD5" w:rsidP="00116CD5">
            <w:pPr>
              <w:contextualSpacing/>
              <w:jc w:val="both"/>
              <w:rPr>
                <w:b/>
              </w:rPr>
            </w:pPr>
            <w:r w:rsidRPr="00F22E64">
              <w:rPr>
                <w:b/>
              </w:rPr>
              <w:t>Progress</w:t>
            </w:r>
          </w:p>
        </w:tc>
      </w:tr>
      <w:tr w:rsidR="00116CD5" w:rsidTr="002D4239">
        <w:tc>
          <w:tcPr>
            <w:tcW w:w="1893" w:type="dxa"/>
            <w:vMerge w:val="restart"/>
          </w:tcPr>
          <w:p w:rsidR="00116CD5" w:rsidRDefault="00116CD5" w:rsidP="00116CD5">
            <w:pPr>
              <w:contextualSpacing/>
            </w:pPr>
            <w:r>
              <w:t>Athlete/coach travel</w:t>
            </w:r>
          </w:p>
        </w:tc>
        <w:tc>
          <w:tcPr>
            <w:tcW w:w="2907" w:type="dxa"/>
          </w:tcPr>
          <w:p w:rsidR="00116CD5" w:rsidRDefault="00116CD5" w:rsidP="00116CD5">
            <w:pPr>
              <w:contextualSpacing/>
            </w:pPr>
            <w:r>
              <w:t>Increased time taken for border checks</w:t>
            </w:r>
          </w:p>
        </w:tc>
        <w:tc>
          <w:tcPr>
            <w:tcW w:w="3410" w:type="dxa"/>
          </w:tcPr>
          <w:p w:rsidR="00116CD5" w:rsidRDefault="00116CD5" w:rsidP="00116CD5">
            <w:pPr>
              <w:pStyle w:val="ListParagraph"/>
              <w:numPr>
                <w:ilvl w:val="0"/>
                <w:numId w:val="1"/>
              </w:numPr>
              <w:ind w:left="365" w:hanging="284"/>
              <w:jc w:val="both"/>
            </w:pPr>
            <w:r>
              <w:t>Increase in total travel time to and from EU.</w:t>
            </w:r>
          </w:p>
          <w:p w:rsidR="00116CD5" w:rsidRDefault="00116CD5" w:rsidP="00116CD5">
            <w:pPr>
              <w:pStyle w:val="ListParagraph"/>
              <w:numPr>
                <w:ilvl w:val="0"/>
                <w:numId w:val="1"/>
              </w:numPr>
              <w:ind w:left="365" w:hanging="284"/>
              <w:jc w:val="both"/>
            </w:pPr>
            <w:r>
              <w:t>Missed travel connections.</w:t>
            </w:r>
          </w:p>
          <w:p w:rsidR="00116CD5" w:rsidRDefault="00116CD5" w:rsidP="00116CD5">
            <w:pPr>
              <w:pStyle w:val="ListParagraph"/>
              <w:numPr>
                <w:ilvl w:val="0"/>
                <w:numId w:val="1"/>
              </w:numPr>
              <w:ind w:left="365" w:hanging="284"/>
              <w:jc w:val="both"/>
            </w:pPr>
            <w:r>
              <w:t>Late for events/competitions.</w:t>
            </w:r>
          </w:p>
        </w:tc>
        <w:tc>
          <w:tcPr>
            <w:tcW w:w="3140" w:type="dxa"/>
          </w:tcPr>
          <w:p w:rsidR="00116CD5" w:rsidRDefault="00116CD5" w:rsidP="00116CD5">
            <w:pPr>
              <w:contextualSpacing/>
              <w:jc w:val="both"/>
            </w:pPr>
            <w:r>
              <w:t>Ensure that appropriate time is allowed for in all travel planning.</w:t>
            </w:r>
          </w:p>
        </w:tc>
        <w:tc>
          <w:tcPr>
            <w:tcW w:w="2598" w:type="dxa"/>
          </w:tcPr>
          <w:p w:rsidR="00116CD5" w:rsidRDefault="00116CD5" w:rsidP="00116CD5">
            <w:pPr>
              <w:contextualSpacing/>
              <w:jc w:val="both"/>
            </w:pPr>
          </w:p>
        </w:tc>
      </w:tr>
      <w:tr w:rsidR="00116CD5" w:rsidTr="002D4239">
        <w:tc>
          <w:tcPr>
            <w:tcW w:w="1893" w:type="dxa"/>
            <w:vMerge/>
          </w:tcPr>
          <w:p w:rsidR="00116CD5" w:rsidRDefault="00116CD5" w:rsidP="00116CD5">
            <w:pPr>
              <w:contextualSpacing/>
            </w:pPr>
          </w:p>
        </w:tc>
        <w:tc>
          <w:tcPr>
            <w:tcW w:w="2907" w:type="dxa"/>
            <w:vMerge w:val="restart"/>
          </w:tcPr>
          <w:p w:rsidR="00116CD5" w:rsidRDefault="00116CD5" w:rsidP="00116CD5">
            <w:pPr>
              <w:contextualSpacing/>
            </w:pPr>
            <w:r>
              <w:t>Insurance cover may no longer be valid</w:t>
            </w:r>
          </w:p>
        </w:tc>
        <w:tc>
          <w:tcPr>
            <w:tcW w:w="3410" w:type="dxa"/>
          </w:tcPr>
          <w:p w:rsidR="00116CD5" w:rsidRDefault="00116CD5" w:rsidP="00116CD5">
            <w:pPr>
              <w:contextualSpacing/>
              <w:jc w:val="both"/>
            </w:pPr>
            <w:r>
              <w:t>Car insurance not valid so use of own car not appropriate.</w:t>
            </w:r>
          </w:p>
        </w:tc>
        <w:tc>
          <w:tcPr>
            <w:tcW w:w="3140" w:type="dxa"/>
          </w:tcPr>
          <w:p w:rsidR="00116CD5" w:rsidRDefault="00116CD5" w:rsidP="00116CD5">
            <w:pPr>
              <w:contextualSpacing/>
              <w:jc w:val="both"/>
            </w:pPr>
            <w:r>
              <w:t>Onus on athlete/coach to check with own insurer.</w:t>
            </w:r>
            <w:r w:rsidR="006B3868">
              <w:t xml:space="preserve">  </w:t>
            </w:r>
            <w:r w:rsidR="006B3868">
              <w:t>Current UK-insurer requirement for ‘Green Card.’</w:t>
            </w:r>
          </w:p>
        </w:tc>
        <w:tc>
          <w:tcPr>
            <w:tcW w:w="2598" w:type="dxa"/>
          </w:tcPr>
          <w:p w:rsidR="00116CD5" w:rsidRDefault="00116CD5" w:rsidP="00116CD5">
            <w:pPr>
              <w:contextualSpacing/>
              <w:jc w:val="both"/>
            </w:pPr>
          </w:p>
        </w:tc>
      </w:tr>
      <w:tr w:rsidR="00116CD5" w:rsidTr="002D4239">
        <w:tc>
          <w:tcPr>
            <w:tcW w:w="1893" w:type="dxa"/>
            <w:vMerge/>
          </w:tcPr>
          <w:p w:rsidR="00116CD5" w:rsidRDefault="00116CD5" w:rsidP="00116CD5">
            <w:pPr>
              <w:contextualSpacing/>
            </w:pPr>
          </w:p>
        </w:tc>
        <w:tc>
          <w:tcPr>
            <w:tcW w:w="2907" w:type="dxa"/>
            <w:vMerge/>
          </w:tcPr>
          <w:p w:rsidR="00116CD5" w:rsidRDefault="00116CD5" w:rsidP="00116CD5">
            <w:pPr>
              <w:contextualSpacing/>
            </w:pPr>
          </w:p>
        </w:tc>
        <w:tc>
          <w:tcPr>
            <w:tcW w:w="3410" w:type="dxa"/>
          </w:tcPr>
          <w:p w:rsidR="00116CD5" w:rsidRDefault="00116CD5" w:rsidP="00116CD5">
            <w:pPr>
              <w:contextualSpacing/>
              <w:jc w:val="both"/>
            </w:pPr>
            <w:r>
              <w:t>Individual health insurance policy may no longer be valid to cover sports-related injury.</w:t>
            </w:r>
          </w:p>
        </w:tc>
        <w:tc>
          <w:tcPr>
            <w:tcW w:w="3140" w:type="dxa"/>
          </w:tcPr>
          <w:p w:rsidR="00116CD5" w:rsidRDefault="00116CD5" w:rsidP="00116CD5">
            <w:pPr>
              <w:contextualSpacing/>
              <w:jc w:val="both"/>
            </w:pPr>
            <w:r>
              <w:t>Onus on athlete/coach to check with own insurer.</w:t>
            </w:r>
          </w:p>
        </w:tc>
        <w:tc>
          <w:tcPr>
            <w:tcW w:w="2598" w:type="dxa"/>
          </w:tcPr>
          <w:p w:rsidR="00116CD5" w:rsidRDefault="00116CD5" w:rsidP="00116CD5">
            <w:pPr>
              <w:contextualSpacing/>
              <w:jc w:val="both"/>
            </w:pPr>
          </w:p>
        </w:tc>
      </w:tr>
      <w:tr w:rsidR="00116CD5" w:rsidTr="002D4239">
        <w:tc>
          <w:tcPr>
            <w:tcW w:w="1893" w:type="dxa"/>
            <w:vMerge/>
          </w:tcPr>
          <w:p w:rsidR="00116CD5" w:rsidRDefault="00116CD5" w:rsidP="00116CD5">
            <w:pPr>
              <w:contextualSpacing/>
            </w:pPr>
          </w:p>
        </w:tc>
        <w:tc>
          <w:tcPr>
            <w:tcW w:w="2907" w:type="dxa"/>
            <w:vMerge/>
          </w:tcPr>
          <w:p w:rsidR="00116CD5" w:rsidRDefault="00116CD5" w:rsidP="00116CD5">
            <w:pPr>
              <w:contextualSpacing/>
            </w:pPr>
          </w:p>
        </w:tc>
        <w:tc>
          <w:tcPr>
            <w:tcW w:w="3410" w:type="dxa"/>
          </w:tcPr>
          <w:p w:rsidR="00116CD5" w:rsidRDefault="00116CD5" w:rsidP="00116CD5">
            <w:pPr>
              <w:contextualSpacing/>
              <w:jc w:val="both"/>
            </w:pPr>
            <w:r>
              <w:t>Individuals may no longer receive treatment free at point of delivery, as per EHIC card arrangement currently.</w:t>
            </w:r>
          </w:p>
        </w:tc>
        <w:tc>
          <w:tcPr>
            <w:tcW w:w="3140" w:type="dxa"/>
          </w:tcPr>
          <w:p w:rsidR="00116CD5" w:rsidRDefault="00116CD5" w:rsidP="00116CD5">
            <w:pPr>
              <w:contextualSpacing/>
              <w:jc w:val="both"/>
            </w:pPr>
            <w:r>
              <w:t xml:space="preserve">Athlete/coach to check with current health insurance provider what cover is currently in place should they require hospital treatment within the EU and consider if additional cover is required/appropriate.  </w:t>
            </w:r>
          </w:p>
        </w:tc>
        <w:tc>
          <w:tcPr>
            <w:tcW w:w="2598" w:type="dxa"/>
          </w:tcPr>
          <w:p w:rsidR="00116CD5" w:rsidRDefault="00116CD5" w:rsidP="00116CD5">
            <w:pPr>
              <w:contextualSpacing/>
              <w:jc w:val="both"/>
            </w:pPr>
          </w:p>
        </w:tc>
      </w:tr>
    </w:tbl>
    <w:p w:rsidR="00F22E64" w:rsidRDefault="00F22E64" w:rsidP="00F22E64"/>
    <w:p w:rsidR="00984ED7" w:rsidRDefault="00984ED7">
      <w:pPr>
        <w:rPr>
          <w:b/>
          <w:sz w:val="28"/>
          <w:szCs w:val="28"/>
        </w:rPr>
      </w:pPr>
      <w:r>
        <w:rPr>
          <w:b/>
          <w:sz w:val="28"/>
          <w:szCs w:val="28"/>
        </w:rPr>
        <w:br w:type="page"/>
      </w:r>
    </w:p>
    <w:p w:rsidR="0000452F" w:rsidRDefault="0000452F" w:rsidP="00F22E64">
      <w:pPr>
        <w:contextualSpacing/>
        <w:rPr>
          <w:b/>
          <w:sz w:val="28"/>
          <w:szCs w:val="28"/>
        </w:rPr>
      </w:pPr>
      <w:r w:rsidRPr="0000452F">
        <w:rPr>
          <w:b/>
          <w:sz w:val="28"/>
          <w:szCs w:val="28"/>
        </w:rPr>
        <w:lastRenderedPageBreak/>
        <w:t>Data Protection</w:t>
      </w:r>
    </w:p>
    <w:tbl>
      <w:tblPr>
        <w:tblStyle w:val="TableGrid"/>
        <w:tblW w:w="0" w:type="auto"/>
        <w:tblLook w:val="04A0" w:firstRow="1" w:lastRow="0" w:firstColumn="1" w:lastColumn="0" w:noHBand="0" w:noVBand="1"/>
      </w:tblPr>
      <w:tblGrid>
        <w:gridCol w:w="1893"/>
        <w:gridCol w:w="2907"/>
        <w:gridCol w:w="3410"/>
        <w:gridCol w:w="3140"/>
        <w:gridCol w:w="2598"/>
      </w:tblGrid>
      <w:tr w:rsidR="0000452F" w:rsidRPr="00F22E64" w:rsidTr="00FD239F">
        <w:tc>
          <w:tcPr>
            <w:tcW w:w="1893" w:type="dxa"/>
            <w:shd w:val="clear" w:color="auto" w:fill="D9D9D9" w:themeFill="background1" w:themeFillShade="D9"/>
          </w:tcPr>
          <w:p w:rsidR="0000452F" w:rsidRPr="00F22E64" w:rsidRDefault="0000452F" w:rsidP="00FD239F">
            <w:pPr>
              <w:contextualSpacing/>
              <w:rPr>
                <w:b/>
              </w:rPr>
            </w:pPr>
            <w:r w:rsidRPr="00F22E64">
              <w:rPr>
                <w:b/>
              </w:rPr>
              <w:t>Event</w:t>
            </w:r>
          </w:p>
        </w:tc>
        <w:tc>
          <w:tcPr>
            <w:tcW w:w="2907" w:type="dxa"/>
            <w:shd w:val="clear" w:color="auto" w:fill="D9D9D9" w:themeFill="background1" w:themeFillShade="D9"/>
          </w:tcPr>
          <w:p w:rsidR="0000452F" w:rsidRPr="00F22E64" w:rsidRDefault="0000452F" w:rsidP="00FD239F">
            <w:pPr>
              <w:contextualSpacing/>
              <w:rPr>
                <w:b/>
              </w:rPr>
            </w:pPr>
            <w:r>
              <w:rPr>
                <w:b/>
              </w:rPr>
              <w:t xml:space="preserve">Potential </w:t>
            </w:r>
            <w:r w:rsidRPr="00F22E64">
              <w:rPr>
                <w:b/>
              </w:rPr>
              <w:t xml:space="preserve">Issue </w:t>
            </w:r>
          </w:p>
        </w:tc>
        <w:tc>
          <w:tcPr>
            <w:tcW w:w="3410" w:type="dxa"/>
            <w:shd w:val="clear" w:color="auto" w:fill="D9D9D9" w:themeFill="background1" w:themeFillShade="D9"/>
          </w:tcPr>
          <w:p w:rsidR="0000452F" w:rsidRPr="00F22E64" w:rsidRDefault="0000452F" w:rsidP="00FD239F">
            <w:pPr>
              <w:contextualSpacing/>
              <w:jc w:val="both"/>
              <w:rPr>
                <w:b/>
              </w:rPr>
            </w:pPr>
            <w:r>
              <w:rPr>
                <w:b/>
              </w:rPr>
              <w:t>Potential Effect</w:t>
            </w:r>
          </w:p>
        </w:tc>
        <w:tc>
          <w:tcPr>
            <w:tcW w:w="3140" w:type="dxa"/>
            <w:shd w:val="clear" w:color="auto" w:fill="D9D9D9" w:themeFill="background1" w:themeFillShade="D9"/>
          </w:tcPr>
          <w:p w:rsidR="0000452F" w:rsidRPr="00F22E64" w:rsidRDefault="0000452F" w:rsidP="00FD239F">
            <w:pPr>
              <w:contextualSpacing/>
              <w:jc w:val="both"/>
              <w:rPr>
                <w:b/>
              </w:rPr>
            </w:pPr>
            <w:r>
              <w:rPr>
                <w:b/>
              </w:rPr>
              <w:t>Potential Solution</w:t>
            </w:r>
          </w:p>
        </w:tc>
        <w:tc>
          <w:tcPr>
            <w:tcW w:w="2598" w:type="dxa"/>
            <w:shd w:val="clear" w:color="auto" w:fill="D9D9D9" w:themeFill="background1" w:themeFillShade="D9"/>
          </w:tcPr>
          <w:p w:rsidR="0000452F" w:rsidRDefault="0000452F" w:rsidP="00FD239F">
            <w:pPr>
              <w:contextualSpacing/>
              <w:jc w:val="both"/>
              <w:rPr>
                <w:b/>
              </w:rPr>
            </w:pPr>
            <w:r w:rsidRPr="00F22E64">
              <w:rPr>
                <w:b/>
              </w:rPr>
              <w:t>Progress</w:t>
            </w:r>
          </w:p>
        </w:tc>
      </w:tr>
      <w:tr w:rsidR="0000452F" w:rsidTr="00FD239F">
        <w:tc>
          <w:tcPr>
            <w:tcW w:w="1893" w:type="dxa"/>
          </w:tcPr>
          <w:p w:rsidR="0000452F" w:rsidRDefault="0000452F" w:rsidP="00FD239F">
            <w:pPr>
              <w:contextualSpacing/>
            </w:pPr>
            <w:r>
              <w:t xml:space="preserve">Transfer of data </w:t>
            </w:r>
            <w:r w:rsidR="00F93B1C">
              <w:rPr>
                <w:b/>
              </w:rPr>
              <w:t>OUT</w:t>
            </w:r>
            <w:r>
              <w:t xml:space="preserve"> of UK</w:t>
            </w:r>
            <w:r w:rsidR="00F93B1C">
              <w:t xml:space="preserve"> (to EEA and other)</w:t>
            </w:r>
          </w:p>
        </w:tc>
        <w:tc>
          <w:tcPr>
            <w:tcW w:w="2907" w:type="dxa"/>
          </w:tcPr>
          <w:p w:rsidR="00482B40" w:rsidRDefault="00482B40" w:rsidP="00F93B1C">
            <w:pPr>
              <w:pStyle w:val="ListParagraph"/>
              <w:numPr>
                <w:ilvl w:val="0"/>
                <w:numId w:val="1"/>
              </w:numPr>
              <w:ind w:left="365" w:hanging="284"/>
              <w:jc w:val="both"/>
            </w:pPr>
            <w:r>
              <w:t xml:space="preserve">Inability to transfer some, or all, data as is current practice and expectation.  </w:t>
            </w:r>
          </w:p>
        </w:tc>
        <w:tc>
          <w:tcPr>
            <w:tcW w:w="3410" w:type="dxa"/>
          </w:tcPr>
          <w:p w:rsidR="0000452F" w:rsidRDefault="00081FC5" w:rsidP="00081FC5">
            <w:pPr>
              <w:pStyle w:val="ListParagraph"/>
              <w:numPr>
                <w:ilvl w:val="0"/>
                <w:numId w:val="1"/>
              </w:numPr>
              <w:ind w:left="365" w:hanging="284"/>
              <w:jc w:val="both"/>
            </w:pPr>
            <w:r>
              <w:t xml:space="preserve">More than one set of </w:t>
            </w:r>
            <w:r w:rsidR="000A7B23">
              <w:t>laws to be considered where previously application of GDPR requirements was sufficient.</w:t>
            </w:r>
            <w:r w:rsidR="00482B40">
              <w:t xml:space="preserve">  Is the transfer legal/open to challenge?</w:t>
            </w:r>
          </w:p>
          <w:p w:rsidR="00F93B1C" w:rsidRDefault="00F93B1C" w:rsidP="00081FC5">
            <w:pPr>
              <w:pStyle w:val="ListParagraph"/>
              <w:numPr>
                <w:ilvl w:val="0"/>
                <w:numId w:val="1"/>
              </w:numPr>
              <w:ind w:left="365" w:hanging="284"/>
              <w:jc w:val="both"/>
            </w:pPr>
            <w:r>
              <w:t>As the sender, organisation liable to committing an offence.</w:t>
            </w:r>
          </w:p>
          <w:p w:rsidR="00F93B1C" w:rsidRDefault="00F93B1C" w:rsidP="00081FC5">
            <w:pPr>
              <w:pStyle w:val="ListParagraph"/>
              <w:numPr>
                <w:ilvl w:val="0"/>
                <w:numId w:val="1"/>
              </w:numPr>
              <w:ind w:left="365" w:hanging="284"/>
              <w:jc w:val="both"/>
            </w:pPr>
            <w:r>
              <w:t>May affect ability to operate.</w:t>
            </w:r>
          </w:p>
        </w:tc>
        <w:tc>
          <w:tcPr>
            <w:tcW w:w="3140" w:type="dxa"/>
          </w:tcPr>
          <w:p w:rsidR="0000452F" w:rsidRDefault="000A7B23" w:rsidP="000A7B23">
            <w:pPr>
              <w:pStyle w:val="ListParagraph"/>
              <w:numPr>
                <w:ilvl w:val="0"/>
                <w:numId w:val="1"/>
              </w:numPr>
              <w:ind w:left="365" w:hanging="284"/>
              <w:jc w:val="both"/>
            </w:pPr>
            <w:r>
              <w:t>Consideration of where data is transferred to and specific legal requirements of this.</w:t>
            </w:r>
          </w:p>
          <w:p w:rsidR="00482B40" w:rsidRDefault="00482B40" w:rsidP="00482B40">
            <w:pPr>
              <w:pStyle w:val="ListParagraph"/>
              <w:numPr>
                <w:ilvl w:val="0"/>
                <w:numId w:val="1"/>
              </w:numPr>
              <w:ind w:left="365" w:hanging="284"/>
              <w:jc w:val="both"/>
            </w:pPr>
            <w:r>
              <w:t>What laws need to be considered?</w:t>
            </w:r>
          </w:p>
          <w:p w:rsidR="00482B40" w:rsidRDefault="00482B40" w:rsidP="00482B40">
            <w:pPr>
              <w:pStyle w:val="ListParagraph"/>
              <w:numPr>
                <w:ilvl w:val="0"/>
                <w:numId w:val="1"/>
              </w:numPr>
              <w:ind w:left="365" w:hanging="284"/>
              <w:jc w:val="both"/>
            </w:pPr>
            <w:r>
              <w:t>Does the organisation have offices in the destination jurisdiction?</w:t>
            </w:r>
          </w:p>
          <w:p w:rsidR="00F93B1C" w:rsidRDefault="00F93B1C" w:rsidP="00F93B1C">
            <w:pPr>
              <w:pStyle w:val="ListParagraph"/>
              <w:numPr>
                <w:ilvl w:val="0"/>
                <w:numId w:val="1"/>
              </w:numPr>
              <w:ind w:left="365" w:hanging="284"/>
              <w:jc w:val="both"/>
            </w:pPr>
            <w:r w:rsidRPr="00F93B1C">
              <w:t>Update references in all governance records, contracts and privacy notices to the EU/EEA to reflect the post-Brexit position of the UK being outside the EU.</w:t>
            </w:r>
          </w:p>
          <w:p w:rsidR="00F93B1C" w:rsidRDefault="00F93B1C" w:rsidP="00F93B1C">
            <w:pPr>
              <w:pStyle w:val="ListParagraph"/>
              <w:numPr>
                <w:ilvl w:val="0"/>
                <w:numId w:val="1"/>
              </w:numPr>
              <w:ind w:left="365" w:hanging="284"/>
              <w:jc w:val="both"/>
            </w:pPr>
            <w:r>
              <w:t>Additional compliance requirements, e.g. appoint a separate Data Protection Officer for both the UK and EU.</w:t>
            </w:r>
          </w:p>
          <w:p w:rsidR="00F93B1C" w:rsidRDefault="000A7B23" w:rsidP="00F93B1C">
            <w:pPr>
              <w:pStyle w:val="ListParagraph"/>
              <w:numPr>
                <w:ilvl w:val="0"/>
                <w:numId w:val="1"/>
              </w:numPr>
              <w:ind w:left="365" w:hanging="284"/>
              <w:jc w:val="both"/>
            </w:pPr>
            <w:r>
              <w:t>Consult with ICO office/data protection specialist.</w:t>
            </w:r>
          </w:p>
          <w:p w:rsidR="00F93B1C" w:rsidRDefault="00F93B1C" w:rsidP="00F93B1C">
            <w:pPr>
              <w:jc w:val="both"/>
            </w:pPr>
          </w:p>
        </w:tc>
        <w:tc>
          <w:tcPr>
            <w:tcW w:w="2598" w:type="dxa"/>
          </w:tcPr>
          <w:p w:rsidR="0000452F" w:rsidRDefault="0000452F" w:rsidP="00FD239F">
            <w:pPr>
              <w:jc w:val="both"/>
            </w:pPr>
          </w:p>
        </w:tc>
      </w:tr>
    </w:tbl>
    <w:p w:rsidR="00C21D51" w:rsidRDefault="00C21D51">
      <w:r>
        <w:br w:type="page"/>
      </w:r>
    </w:p>
    <w:tbl>
      <w:tblPr>
        <w:tblStyle w:val="TableGrid"/>
        <w:tblW w:w="0" w:type="auto"/>
        <w:tblLook w:val="04A0" w:firstRow="1" w:lastRow="0" w:firstColumn="1" w:lastColumn="0" w:noHBand="0" w:noVBand="1"/>
      </w:tblPr>
      <w:tblGrid>
        <w:gridCol w:w="1893"/>
        <w:gridCol w:w="2907"/>
        <w:gridCol w:w="3410"/>
        <w:gridCol w:w="3140"/>
        <w:gridCol w:w="2598"/>
      </w:tblGrid>
      <w:tr w:rsidR="00F93B1C" w:rsidRPr="00F22E64" w:rsidTr="00FD239F">
        <w:tc>
          <w:tcPr>
            <w:tcW w:w="1893" w:type="dxa"/>
            <w:shd w:val="clear" w:color="auto" w:fill="D9D9D9" w:themeFill="background1" w:themeFillShade="D9"/>
          </w:tcPr>
          <w:p w:rsidR="00F93B1C" w:rsidRPr="00F22E64" w:rsidRDefault="00F93B1C" w:rsidP="00FD239F">
            <w:pPr>
              <w:contextualSpacing/>
              <w:rPr>
                <w:b/>
              </w:rPr>
            </w:pPr>
            <w:r w:rsidRPr="00F22E64">
              <w:rPr>
                <w:b/>
              </w:rPr>
              <w:lastRenderedPageBreak/>
              <w:t>Event</w:t>
            </w:r>
          </w:p>
        </w:tc>
        <w:tc>
          <w:tcPr>
            <w:tcW w:w="2907" w:type="dxa"/>
            <w:shd w:val="clear" w:color="auto" w:fill="D9D9D9" w:themeFill="background1" w:themeFillShade="D9"/>
          </w:tcPr>
          <w:p w:rsidR="00F93B1C" w:rsidRPr="00F22E64" w:rsidRDefault="00F93B1C" w:rsidP="00FD239F">
            <w:pPr>
              <w:contextualSpacing/>
              <w:rPr>
                <w:b/>
              </w:rPr>
            </w:pPr>
            <w:r>
              <w:rPr>
                <w:b/>
              </w:rPr>
              <w:t xml:space="preserve">Potential </w:t>
            </w:r>
            <w:r w:rsidRPr="00F22E64">
              <w:rPr>
                <w:b/>
              </w:rPr>
              <w:t xml:space="preserve">Issue </w:t>
            </w:r>
          </w:p>
        </w:tc>
        <w:tc>
          <w:tcPr>
            <w:tcW w:w="3410" w:type="dxa"/>
            <w:shd w:val="clear" w:color="auto" w:fill="D9D9D9" w:themeFill="background1" w:themeFillShade="D9"/>
          </w:tcPr>
          <w:p w:rsidR="00F93B1C" w:rsidRPr="00F22E64" w:rsidRDefault="00F93B1C" w:rsidP="00FD239F">
            <w:pPr>
              <w:contextualSpacing/>
              <w:jc w:val="both"/>
              <w:rPr>
                <w:b/>
              </w:rPr>
            </w:pPr>
            <w:r>
              <w:rPr>
                <w:b/>
              </w:rPr>
              <w:t>Potential Effect</w:t>
            </w:r>
          </w:p>
        </w:tc>
        <w:tc>
          <w:tcPr>
            <w:tcW w:w="3140" w:type="dxa"/>
            <w:shd w:val="clear" w:color="auto" w:fill="D9D9D9" w:themeFill="background1" w:themeFillShade="D9"/>
          </w:tcPr>
          <w:p w:rsidR="00F93B1C" w:rsidRPr="00F22E64" w:rsidRDefault="00F93B1C" w:rsidP="00FD239F">
            <w:pPr>
              <w:contextualSpacing/>
              <w:jc w:val="both"/>
              <w:rPr>
                <w:b/>
              </w:rPr>
            </w:pPr>
            <w:r>
              <w:rPr>
                <w:b/>
              </w:rPr>
              <w:t>Potential Solution</w:t>
            </w:r>
          </w:p>
        </w:tc>
        <w:tc>
          <w:tcPr>
            <w:tcW w:w="2598" w:type="dxa"/>
            <w:shd w:val="clear" w:color="auto" w:fill="D9D9D9" w:themeFill="background1" w:themeFillShade="D9"/>
          </w:tcPr>
          <w:p w:rsidR="00F93B1C" w:rsidRDefault="00F93B1C" w:rsidP="00FD239F">
            <w:pPr>
              <w:contextualSpacing/>
              <w:jc w:val="both"/>
              <w:rPr>
                <w:b/>
              </w:rPr>
            </w:pPr>
            <w:r w:rsidRPr="00F22E64">
              <w:rPr>
                <w:b/>
              </w:rPr>
              <w:t>Progress</w:t>
            </w:r>
          </w:p>
        </w:tc>
      </w:tr>
      <w:tr w:rsidR="0000452F" w:rsidTr="00FD239F">
        <w:trPr>
          <w:trHeight w:val="3395"/>
        </w:trPr>
        <w:tc>
          <w:tcPr>
            <w:tcW w:w="1893" w:type="dxa"/>
          </w:tcPr>
          <w:p w:rsidR="0000452F" w:rsidRDefault="0000452F" w:rsidP="00F93B1C">
            <w:pPr>
              <w:contextualSpacing/>
            </w:pPr>
            <w:r>
              <w:t xml:space="preserve">Transfer of data </w:t>
            </w:r>
            <w:r w:rsidR="00F93B1C">
              <w:rPr>
                <w:b/>
              </w:rPr>
              <w:t>IN</w:t>
            </w:r>
            <w:r>
              <w:t xml:space="preserve"> to UK</w:t>
            </w:r>
            <w:r w:rsidR="00F93B1C">
              <w:t xml:space="preserve"> (from EEA and other)</w:t>
            </w:r>
          </w:p>
        </w:tc>
        <w:tc>
          <w:tcPr>
            <w:tcW w:w="2907" w:type="dxa"/>
          </w:tcPr>
          <w:p w:rsidR="0000452F" w:rsidRDefault="00F93B1C" w:rsidP="00F93B1C">
            <w:pPr>
              <w:pStyle w:val="ListParagraph"/>
              <w:numPr>
                <w:ilvl w:val="0"/>
                <w:numId w:val="1"/>
              </w:numPr>
              <w:ind w:left="365" w:hanging="284"/>
              <w:jc w:val="both"/>
            </w:pPr>
            <w:r>
              <w:t xml:space="preserve">Inability to </w:t>
            </w:r>
            <w:r>
              <w:t>receive</w:t>
            </w:r>
            <w:r>
              <w:t xml:space="preserve"> some, or all, data as is current practice and expectation.  </w:t>
            </w:r>
          </w:p>
        </w:tc>
        <w:tc>
          <w:tcPr>
            <w:tcW w:w="3410" w:type="dxa"/>
          </w:tcPr>
          <w:p w:rsidR="0000452F" w:rsidRDefault="00F93B1C" w:rsidP="00F93B1C">
            <w:pPr>
              <w:pStyle w:val="ListParagraph"/>
              <w:numPr>
                <w:ilvl w:val="0"/>
                <w:numId w:val="1"/>
              </w:numPr>
              <w:ind w:left="365" w:hanging="284"/>
              <w:jc w:val="both"/>
            </w:pPr>
            <w:r>
              <w:t xml:space="preserve">As the </w:t>
            </w:r>
            <w:r>
              <w:t>recipient</w:t>
            </w:r>
            <w:r>
              <w:t xml:space="preserve">, organisation </w:t>
            </w:r>
            <w:r>
              <w:t xml:space="preserve">is not </w:t>
            </w:r>
            <w:r>
              <w:t>liable to committing an offence</w:t>
            </w:r>
            <w:r>
              <w:t xml:space="preserve"> but would experience any change to the types of data able to be received.</w:t>
            </w:r>
          </w:p>
          <w:p w:rsidR="00F93B1C" w:rsidRDefault="00F93B1C" w:rsidP="00F93B1C">
            <w:pPr>
              <w:pStyle w:val="ListParagraph"/>
              <w:numPr>
                <w:ilvl w:val="0"/>
                <w:numId w:val="1"/>
              </w:numPr>
              <w:ind w:left="365" w:hanging="284"/>
              <w:jc w:val="both"/>
            </w:pPr>
            <w:r>
              <w:t>May affect ability to operate.</w:t>
            </w:r>
          </w:p>
        </w:tc>
        <w:tc>
          <w:tcPr>
            <w:tcW w:w="3140" w:type="dxa"/>
          </w:tcPr>
          <w:p w:rsidR="00F93B1C" w:rsidRDefault="00F93B1C" w:rsidP="00F93B1C">
            <w:pPr>
              <w:pStyle w:val="ListParagraph"/>
              <w:numPr>
                <w:ilvl w:val="0"/>
                <w:numId w:val="1"/>
              </w:numPr>
              <w:ind w:left="365" w:hanging="284"/>
              <w:jc w:val="both"/>
            </w:pPr>
            <w:r>
              <w:t xml:space="preserve">Where is the data </w:t>
            </w:r>
            <w:r>
              <w:t>going to</w:t>
            </w:r>
            <w:r>
              <w:t xml:space="preserve">?  </w:t>
            </w:r>
          </w:p>
          <w:p w:rsidR="00F93B1C" w:rsidRDefault="00F93B1C" w:rsidP="00F93B1C">
            <w:pPr>
              <w:pStyle w:val="ListParagraph"/>
              <w:numPr>
                <w:ilvl w:val="0"/>
                <w:numId w:val="1"/>
              </w:numPr>
              <w:ind w:left="365" w:hanging="284"/>
              <w:jc w:val="both"/>
            </w:pPr>
            <w:r>
              <w:t>What agreements are in place and what laws need to be considered?</w:t>
            </w:r>
          </w:p>
          <w:p w:rsidR="00F93B1C" w:rsidRDefault="00F93B1C" w:rsidP="00F93B1C">
            <w:pPr>
              <w:pStyle w:val="ListParagraph"/>
              <w:numPr>
                <w:ilvl w:val="0"/>
                <w:numId w:val="1"/>
              </w:numPr>
              <w:ind w:left="365" w:hanging="284"/>
              <w:jc w:val="both"/>
            </w:pPr>
            <w:r>
              <w:t>Does the organisation have offices in the destination jurisdiction?</w:t>
            </w:r>
          </w:p>
          <w:p w:rsidR="00482B40" w:rsidRDefault="00482B40" w:rsidP="00482B40">
            <w:pPr>
              <w:pStyle w:val="ListParagraph"/>
              <w:numPr>
                <w:ilvl w:val="0"/>
                <w:numId w:val="1"/>
              </w:numPr>
              <w:ind w:left="365" w:hanging="284"/>
              <w:jc w:val="both"/>
            </w:pPr>
            <w:r>
              <w:t>Is an Adequacy Decision in place (EC-level)?</w:t>
            </w:r>
          </w:p>
          <w:p w:rsidR="0000452F" w:rsidRDefault="00482B40" w:rsidP="00482B40">
            <w:pPr>
              <w:pStyle w:val="ListParagraph"/>
              <w:numPr>
                <w:ilvl w:val="0"/>
                <w:numId w:val="1"/>
              </w:numPr>
              <w:ind w:left="365" w:hanging="284"/>
              <w:jc w:val="both"/>
            </w:pPr>
            <w:r>
              <w:t>Put specific safeguards in place, e.g. adopt Standard Contractual Clauses</w:t>
            </w:r>
            <w:r>
              <w:t>.</w:t>
            </w:r>
          </w:p>
          <w:p w:rsidR="00F93B1C" w:rsidRDefault="00F93B1C" w:rsidP="00F93B1C">
            <w:pPr>
              <w:pStyle w:val="ListParagraph"/>
              <w:numPr>
                <w:ilvl w:val="0"/>
                <w:numId w:val="1"/>
              </w:numPr>
              <w:ind w:left="365" w:hanging="284"/>
              <w:jc w:val="both"/>
            </w:pPr>
            <w:r w:rsidRPr="00F93B1C">
              <w:t>Update references in all governance records, contracts and privacy notices to the EU/EEA to reflect the post-Brexit position of the UK being outside the EU.</w:t>
            </w:r>
          </w:p>
          <w:p w:rsidR="00F93B1C" w:rsidRDefault="00F93B1C" w:rsidP="00F93B1C">
            <w:pPr>
              <w:pStyle w:val="ListParagraph"/>
              <w:ind w:left="365"/>
              <w:jc w:val="both"/>
            </w:pPr>
          </w:p>
        </w:tc>
        <w:tc>
          <w:tcPr>
            <w:tcW w:w="2598" w:type="dxa"/>
          </w:tcPr>
          <w:p w:rsidR="0000452F" w:rsidRDefault="0000452F" w:rsidP="00FD239F">
            <w:pPr>
              <w:jc w:val="both"/>
            </w:pPr>
          </w:p>
        </w:tc>
      </w:tr>
    </w:tbl>
    <w:p w:rsidR="0000452F" w:rsidRDefault="0000452F" w:rsidP="00F22E64">
      <w:pPr>
        <w:contextualSpacing/>
      </w:pPr>
    </w:p>
    <w:p w:rsidR="00F93B1C" w:rsidRDefault="00F93B1C" w:rsidP="00F22E64">
      <w:pPr>
        <w:contextualSpacing/>
      </w:pPr>
    </w:p>
    <w:p w:rsidR="00F93B1C" w:rsidRDefault="00F93B1C" w:rsidP="00F22E64">
      <w:pPr>
        <w:contextualSpacing/>
      </w:pPr>
    </w:p>
    <w:p w:rsidR="00F93B1C" w:rsidRDefault="00F93B1C" w:rsidP="00F22E64">
      <w:pPr>
        <w:contextualSpacing/>
      </w:pPr>
    </w:p>
    <w:p w:rsidR="00F93B1C" w:rsidRDefault="00F93B1C" w:rsidP="00F22E64">
      <w:pPr>
        <w:contextualSpacing/>
      </w:pPr>
    </w:p>
    <w:p w:rsidR="00F93B1C" w:rsidRDefault="00F93B1C" w:rsidP="00F22E64">
      <w:pPr>
        <w:contextualSpacing/>
      </w:pPr>
    </w:p>
    <w:p w:rsidR="00F93B1C" w:rsidRDefault="00F93B1C" w:rsidP="00F22E64">
      <w:pPr>
        <w:contextualSpacing/>
      </w:pPr>
    </w:p>
    <w:p w:rsidR="00F93B1C" w:rsidRDefault="00F93B1C" w:rsidP="00F22E64">
      <w:pPr>
        <w:contextualSpacing/>
      </w:pPr>
    </w:p>
    <w:p w:rsidR="00F93B1C" w:rsidRDefault="00F93B1C" w:rsidP="00F22E64">
      <w:pPr>
        <w:contextualSpacing/>
      </w:pPr>
    </w:p>
    <w:p w:rsidR="00F93B1C" w:rsidRDefault="00F93B1C" w:rsidP="00F22E64">
      <w:pPr>
        <w:contextualSpacing/>
      </w:pPr>
    </w:p>
    <w:p w:rsidR="006B3868" w:rsidRDefault="006B3868">
      <w:r>
        <w:br w:type="page"/>
      </w:r>
    </w:p>
    <w:p w:rsidR="00F93B1C" w:rsidRDefault="00F93B1C" w:rsidP="00F93B1C">
      <w:pPr>
        <w:contextualSpacing/>
        <w:rPr>
          <w:b/>
          <w:sz w:val="28"/>
          <w:szCs w:val="28"/>
        </w:rPr>
      </w:pPr>
      <w:r>
        <w:rPr>
          <w:b/>
          <w:sz w:val="28"/>
          <w:szCs w:val="28"/>
        </w:rPr>
        <w:lastRenderedPageBreak/>
        <w:t>Employment</w:t>
      </w:r>
    </w:p>
    <w:tbl>
      <w:tblPr>
        <w:tblStyle w:val="TableGrid"/>
        <w:tblW w:w="0" w:type="auto"/>
        <w:tblLook w:val="04A0" w:firstRow="1" w:lastRow="0" w:firstColumn="1" w:lastColumn="0" w:noHBand="0" w:noVBand="1"/>
      </w:tblPr>
      <w:tblGrid>
        <w:gridCol w:w="1893"/>
        <w:gridCol w:w="2907"/>
        <w:gridCol w:w="3410"/>
        <w:gridCol w:w="3140"/>
        <w:gridCol w:w="2598"/>
      </w:tblGrid>
      <w:tr w:rsidR="00F93B1C" w:rsidRPr="00F22E64" w:rsidTr="00FD239F">
        <w:tc>
          <w:tcPr>
            <w:tcW w:w="1893" w:type="dxa"/>
            <w:shd w:val="clear" w:color="auto" w:fill="D9D9D9" w:themeFill="background1" w:themeFillShade="D9"/>
          </w:tcPr>
          <w:p w:rsidR="00F93B1C" w:rsidRPr="00F22E64" w:rsidRDefault="00F93B1C" w:rsidP="00FD239F">
            <w:pPr>
              <w:contextualSpacing/>
              <w:rPr>
                <w:b/>
              </w:rPr>
            </w:pPr>
            <w:r w:rsidRPr="00F22E64">
              <w:rPr>
                <w:b/>
              </w:rPr>
              <w:t>Event</w:t>
            </w:r>
          </w:p>
        </w:tc>
        <w:tc>
          <w:tcPr>
            <w:tcW w:w="2907" w:type="dxa"/>
            <w:shd w:val="clear" w:color="auto" w:fill="D9D9D9" w:themeFill="background1" w:themeFillShade="D9"/>
          </w:tcPr>
          <w:p w:rsidR="00F93B1C" w:rsidRPr="00F22E64" w:rsidRDefault="00F93B1C" w:rsidP="00FD239F">
            <w:pPr>
              <w:contextualSpacing/>
              <w:rPr>
                <w:b/>
              </w:rPr>
            </w:pPr>
            <w:r>
              <w:rPr>
                <w:b/>
              </w:rPr>
              <w:t xml:space="preserve">Potential </w:t>
            </w:r>
            <w:r w:rsidRPr="00F22E64">
              <w:rPr>
                <w:b/>
              </w:rPr>
              <w:t xml:space="preserve">Issue </w:t>
            </w:r>
          </w:p>
        </w:tc>
        <w:tc>
          <w:tcPr>
            <w:tcW w:w="3410" w:type="dxa"/>
            <w:shd w:val="clear" w:color="auto" w:fill="D9D9D9" w:themeFill="background1" w:themeFillShade="D9"/>
          </w:tcPr>
          <w:p w:rsidR="00F93B1C" w:rsidRPr="00F22E64" w:rsidRDefault="00F93B1C" w:rsidP="00FD239F">
            <w:pPr>
              <w:contextualSpacing/>
              <w:jc w:val="both"/>
              <w:rPr>
                <w:b/>
              </w:rPr>
            </w:pPr>
            <w:r>
              <w:rPr>
                <w:b/>
              </w:rPr>
              <w:t>Potential Effect</w:t>
            </w:r>
          </w:p>
        </w:tc>
        <w:tc>
          <w:tcPr>
            <w:tcW w:w="3140" w:type="dxa"/>
            <w:shd w:val="clear" w:color="auto" w:fill="D9D9D9" w:themeFill="background1" w:themeFillShade="D9"/>
          </w:tcPr>
          <w:p w:rsidR="00F93B1C" w:rsidRPr="00F22E64" w:rsidRDefault="00F93B1C" w:rsidP="00FD239F">
            <w:pPr>
              <w:contextualSpacing/>
              <w:jc w:val="both"/>
              <w:rPr>
                <w:b/>
              </w:rPr>
            </w:pPr>
            <w:r>
              <w:rPr>
                <w:b/>
              </w:rPr>
              <w:t>Potential Solution</w:t>
            </w:r>
          </w:p>
        </w:tc>
        <w:tc>
          <w:tcPr>
            <w:tcW w:w="2598" w:type="dxa"/>
            <w:shd w:val="clear" w:color="auto" w:fill="D9D9D9" w:themeFill="background1" w:themeFillShade="D9"/>
          </w:tcPr>
          <w:p w:rsidR="00F93B1C" w:rsidRDefault="00F93B1C" w:rsidP="00FD239F">
            <w:pPr>
              <w:contextualSpacing/>
              <w:jc w:val="both"/>
              <w:rPr>
                <w:b/>
              </w:rPr>
            </w:pPr>
            <w:r w:rsidRPr="00F22E64">
              <w:rPr>
                <w:b/>
              </w:rPr>
              <w:t>Progress</w:t>
            </w:r>
          </w:p>
        </w:tc>
      </w:tr>
      <w:tr w:rsidR="00F93B1C" w:rsidTr="00FD239F">
        <w:tc>
          <w:tcPr>
            <w:tcW w:w="1893" w:type="dxa"/>
          </w:tcPr>
          <w:p w:rsidR="00F93B1C" w:rsidRDefault="006B3868" w:rsidP="00FD239F">
            <w:pPr>
              <w:contextualSpacing/>
            </w:pPr>
            <w:r>
              <w:t>Employment of non-UK nationals</w:t>
            </w:r>
          </w:p>
        </w:tc>
        <w:tc>
          <w:tcPr>
            <w:tcW w:w="2907" w:type="dxa"/>
          </w:tcPr>
          <w:p w:rsidR="00C21D51" w:rsidRDefault="006B3868" w:rsidP="00FD239F">
            <w:pPr>
              <w:pStyle w:val="ListParagraph"/>
              <w:numPr>
                <w:ilvl w:val="0"/>
                <w:numId w:val="1"/>
              </w:numPr>
              <w:ind w:left="365" w:hanging="284"/>
              <w:jc w:val="both"/>
            </w:pPr>
            <w:r>
              <w:t>Right to work in UK</w:t>
            </w:r>
            <w:r w:rsidR="00C21D51">
              <w:t>.</w:t>
            </w:r>
          </w:p>
          <w:p w:rsidR="00C21D51" w:rsidRDefault="00C21D51" w:rsidP="00C21D51">
            <w:pPr>
              <w:pStyle w:val="ListParagraph"/>
              <w:numPr>
                <w:ilvl w:val="0"/>
                <w:numId w:val="1"/>
              </w:numPr>
              <w:ind w:left="365" w:hanging="284"/>
              <w:jc w:val="both"/>
            </w:pPr>
            <w:r>
              <w:t xml:space="preserve">Right to remain in the UK </w:t>
            </w:r>
            <w:r w:rsidR="006B3868">
              <w:t>for more than a prescribed number of days per year</w:t>
            </w:r>
            <w:r>
              <w:t>.</w:t>
            </w:r>
          </w:p>
          <w:p w:rsidR="00F93B1C" w:rsidRDefault="00C21D51" w:rsidP="00C21D51">
            <w:pPr>
              <w:pStyle w:val="ListParagraph"/>
              <w:numPr>
                <w:ilvl w:val="0"/>
                <w:numId w:val="1"/>
              </w:numPr>
              <w:ind w:left="365" w:hanging="284"/>
              <w:jc w:val="both"/>
            </w:pPr>
            <w:r>
              <w:t>Recognition of qualifications.</w:t>
            </w:r>
            <w:r w:rsidR="00F93B1C">
              <w:t xml:space="preserve">  </w:t>
            </w:r>
          </w:p>
        </w:tc>
        <w:tc>
          <w:tcPr>
            <w:tcW w:w="3410" w:type="dxa"/>
          </w:tcPr>
          <w:p w:rsidR="00F93B1C" w:rsidRDefault="00984ED7" w:rsidP="00FD239F">
            <w:pPr>
              <w:pStyle w:val="ListParagraph"/>
              <w:numPr>
                <w:ilvl w:val="0"/>
                <w:numId w:val="1"/>
              </w:numPr>
              <w:ind w:left="365" w:hanging="284"/>
              <w:jc w:val="both"/>
            </w:pPr>
            <w:r>
              <w:t>Difficulty in attracting or retaining staff.</w:t>
            </w:r>
            <w:bookmarkStart w:id="0" w:name="_GoBack"/>
            <w:bookmarkEnd w:id="0"/>
          </w:p>
        </w:tc>
        <w:tc>
          <w:tcPr>
            <w:tcW w:w="3140" w:type="dxa"/>
          </w:tcPr>
          <w:p w:rsidR="00C21D51" w:rsidRDefault="00C21D51" w:rsidP="00C21D51">
            <w:pPr>
              <w:pStyle w:val="ListParagraph"/>
              <w:numPr>
                <w:ilvl w:val="0"/>
                <w:numId w:val="1"/>
              </w:numPr>
              <w:ind w:left="365" w:hanging="284"/>
              <w:jc w:val="both"/>
            </w:pPr>
            <w:r>
              <w:t>Seek advice re. visas</w:t>
            </w:r>
            <w:r>
              <w:t>.</w:t>
            </w:r>
          </w:p>
          <w:p w:rsidR="00C21D51" w:rsidRDefault="00C21D51" w:rsidP="00C21D51">
            <w:pPr>
              <w:pStyle w:val="ListParagraph"/>
              <w:numPr>
                <w:ilvl w:val="0"/>
                <w:numId w:val="1"/>
              </w:numPr>
              <w:ind w:left="365" w:hanging="284"/>
              <w:jc w:val="both"/>
            </w:pPr>
            <w:r>
              <w:t>Consider whether current posts are covered by the new points based immigration scheme.</w:t>
            </w:r>
          </w:p>
          <w:p w:rsidR="00F93B1C" w:rsidRDefault="00F93B1C" w:rsidP="00FD239F">
            <w:pPr>
              <w:jc w:val="both"/>
            </w:pPr>
          </w:p>
          <w:p w:rsidR="00F93B1C" w:rsidRDefault="00F93B1C" w:rsidP="00FD239F">
            <w:pPr>
              <w:jc w:val="both"/>
            </w:pPr>
          </w:p>
          <w:p w:rsidR="00F93B1C" w:rsidRDefault="00F93B1C" w:rsidP="00FD239F">
            <w:pPr>
              <w:jc w:val="both"/>
            </w:pPr>
          </w:p>
          <w:p w:rsidR="00F93B1C" w:rsidRDefault="00F93B1C" w:rsidP="00FD239F">
            <w:pPr>
              <w:jc w:val="both"/>
            </w:pPr>
          </w:p>
          <w:p w:rsidR="00F93B1C" w:rsidRDefault="00F93B1C" w:rsidP="00FD239F">
            <w:pPr>
              <w:jc w:val="both"/>
            </w:pPr>
          </w:p>
          <w:p w:rsidR="00F93B1C" w:rsidRDefault="00F93B1C" w:rsidP="00FD239F">
            <w:pPr>
              <w:jc w:val="both"/>
            </w:pPr>
          </w:p>
          <w:p w:rsidR="00F93B1C" w:rsidRDefault="00F93B1C" w:rsidP="00FD239F">
            <w:pPr>
              <w:jc w:val="both"/>
            </w:pPr>
          </w:p>
        </w:tc>
        <w:tc>
          <w:tcPr>
            <w:tcW w:w="2598" w:type="dxa"/>
          </w:tcPr>
          <w:p w:rsidR="00F93B1C" w:rsidRDefault="00F93B1C" w:rsidP="00FD239F">
            <w:pPr>
              <w:jc w:val="both"/>
            </w:pPr>
          </w:p>
        </w:tc>
      </w:tr>
    </w:tbl>
    <w:p w:rsidR="00F93B1C" w:rsidRDefault="00F93B1C" w:rsidP="00F22E64">
      <w:pPr>
        <w:contextualSpacing/>
      </w:pPr>
    </w:p>
    <w:sectPr w:rsidR="00F93B1C" w:rsidSect="00B35190">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ED7" w:rsidRDefault="00984ED7" w:rsidP="00984ED7">
      <w:pPr>
        <w:spacing w:after="0" w:line="240" w:lineRule="auto"/>
      </w:pPr>
      <w:r>
        <w:separator/>
      </w:r>
    </w:p>
  </w:endnote>
  <w:endnote w:type="continuationSeparator" w:id="0">
    <w:p w:rsidR="00984ED7" w:rsidRDefault="00984ED7" w:rsidP="0098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715231"/>
      <w:docPartObj>
        <w:docPartGallery w:val="Page Numbers (Bottom of Page)"/>
        <w:docPartUnique/>
      </w:docPartObj>
    </w:sdtPr>
    <w:sdtEndPr>
      <w:rPr>
        <w:noProof/>
      </w:rPr>
    </w:sdtEndPr>
    <w:sdtContent>
      <w:p w:rsidR="00984ED7" w:rsidRDefault="00984ED7">
        <w:pPr>
          <w:pStyle w:val="Footer"/>
          <w:jc w:val="right"/>
        </w:pPr>
        <w:r>
          <w:fldChar w:fldCharType="begin"/>
        </w:r>
        <w:r>
          <w:instrText xml:space="preserve"> PAGE   \* MERGEFORMAT </w:instrText>
        </w:r>
        <w:r>
          <w:fldChar w:fldCharType="separate"/>
        </w:r>
        <w:r w:rsidR="00363F1B">
          <w:rPr>
            <w:noProof/>
          </w:rPr>
          <w:t>2</w:t>
        </w:r>
        <w:r>
          <w:rPr>
            <w:noProof/>
          </w:rPr>
          <w:fldChar w:fldCharType="end"/>
        </w:r>
      </w:p>
    </w:sdtContent>
  </w:sdt>
  <w:p w:rsidR="00984ED7" w:rsidRDefault="00984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ED7" w:rsidRDefault="00984ED7" w:rsidP="00984ED7">
      <w:pPr>
        <w:spacing w:after="0" w:line="240" w:lineRule="auto"/>
      </w:pPr>
      <w:r>
        <w:separator/>
      </w:r>
    </w:p>
  </w:footnote>
  <w:footnote w:type="continuationSeparator" w:id="0">
    <w:p w:rsidR="00984ED7" w:rsidRDefault="00984ED7" w:rsidP="00984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ED7" w:rsidRDefault="00984ED7">
    <w:pPr>
      <w:pStyle w:val="Header"/>
    </w:pPr>
    <w:r>
      <w:t>Brexit Preparations Checklist – 27 July 2020</w:t>
    </w:r>
  </w:p>
  <w:sdt>
    <w:sdtPr>
      <w:id w:val="-127869660"/>
      <w:docPartObj>
        <w:docPartGallery w:val="Watermarks"/>
        <w:docPartUnique/>
      </w:docPartObj>
    </w:sdtPr>
    <w:sdtContent>
      <w:p w:rsidR="00984ED7" w:rsidRDefault="00984ED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E1B6C"/>
    <w:multiLevelType w:val="hybridMultilevel"/>
    <w:tmpl w:val="16D2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1F0697"/>
    <w:multiLevelType w:val="hybridMultilevel"/>
    <w:tmpl w:val="E3B0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90"/>
    <w:rsid w:val="0000452F"/>
    <w:rsid w:val="00081FC5"/>
    <w:rsid w:val="000A7B23"/>
    <w:rsid w:val="00116CD5"/>
    <w:rsid w:val="002D4239"/>
    <w:rsid w:val="00363F1B"/>
    <w:rsid w:val="003A1B48"/>
    <w:rsid w:val="00482B40"/>
    <w:rsid w:val="00626FFF"/>
    <w:rsid w:val="0064172E"/>
    <w:rsid w:val="006979CC"/>
    <w:rsid w:val="006B3868"/>
    <w:rsid w:val="00964DE9"/>
    <w:rsid w:val="00984ED7"/>
    <w:rsid w:val="00AB7118"/>
    <w:rsid w:val="00B35190"/>
    <w:rsid w:val="00C12A75"/>
    <w:rsid w:val="00C21D51"/>
    <w:rsid w:val="00D20682"/>
    <w:rsid w:val="00F22E64"/>
    <w:rsid w:val="00F93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4CB86F8-9FC8-4C2A-9A74-1F819C91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B48"/>
    <w:pPr>
      <w:ind w:left="720"/>
      <w:contextualSpacing/>
    </w:pPr>
  </w:style>
  <w:style w:type="paragraph" w:styleId="Header">
    <w:name w:val="header"/>
    <w:basedOn w:val="Normal"/>
    <w:link w:val="HeaderChar"/>
    <w:uiPriority w:val="99"/>
    <w:unhideWhenUsed/>
    <w:rsid w:val="00984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ED7"/>
  </w:style>
  <w:style w:type="paragraph" w:styleId="Footer">
    <w:name w:val="footer"/>
    <w:basedOn w:val="Normal"/>
    <w:link w:val="FooterChar"/>
    <w:uiPriority w:val="99"/>
    <w:unhideWhenUsed/>
    <w:rsid w:val="00984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E4"/>
    <w:rsid w:val="00690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7CF288EE544AF88241A2D627291BAA">
    <w:name w:val="E27CF288EE544AF88241A2D627291BAA"/>
    <w:rsid w:val="00690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961E0-9169-4FBC-BDBC-78870CEC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Weir</dc:creator>
  <cp:keywords/>
  <dc:description/>
  <cp:lastModifiedBy>Ian Weir</cp:lastModifiedBy>
  <cp:revision>2</cp:revision>
  <dcterms:created xsi:type="dcterms:W3CDTF">2020-07-27T13:43:00Z</dcterms:created>
  <dcterms:modified xsi:type="dcterms:W3CDTF">2020-07-27T13:43:00Z</dcterms:modified>
</cp:coreProperties>
</file>